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1"/>
        <w:gridCol w:w="5178"/>
      </w:tblGrid>
      <w:tr w:rsidR="007771F4" w:rsidRPr="007771F4" w14:paraId="0B1DED43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1B5AF2B6" w14:textId="12ACED81" w:rsidR="007771F4" w:rsidRPr="007771F4" w:rsidRDefault="007771F4" w:rsidP="0077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REPOSIÇÃO DE ESTRÓGENO </w:t>
            </w:r>
            <w:r w:rsidR="001919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 ATAXIA TELANGIECTASIA</w:t>
            </w:r>
          </w:p>
        </w:tc>
      </w:tr>
      <w:tr w:rsidR="007771F4" w:rsidRPr="007771F4" w14:paraId="7936D31C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1623DF36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1059CC78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474DD7BA" w14:textId="77777777" w:rsidR="007771F4" w:rsidRPr="007771F4" w:rsidRDefault="007771F4" w:rsidP="0077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Várias jovens com A-T têm o período menstrual irregular ou param de menstruar ainda jovens. Algumas não completam o desenvolvimento da puberdade a ponto de iniciarem os períodos menstruais. Existem dois riscos para mulheres com períodos menstruais irregulares ou que não menstruam:</w:t>
            </w:r>
          </w:p>
        </w:tc>
      </w:tr>
      <w:tr w:rsidR="007771F4" w:rsidRPr="007771F4" w14:paraId="5C5CFFE7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6005DF86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06890235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76D23428" w14:textId="77777777" w:rsidR="007771F4" w:rsidRPr="007771F4" w:rsidRDefault="007771F4" w:rsidP="007771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Pode ocorrer o acúmulo do tecido que envolve o útero (endométrio). Se este tecido não é periodicamente eliminado, há o risco de desenvolvimento de um câncer de endométrio.</w:t>
            </w:r>
          </w:p>
          <w:p w14:paraId="7927CA4E" w14:textId="77777777" w:rsidR="007771F4" w:rsidRPr="007771F4" w:rsidRDefault="007771F4" w:rsidP="007771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 a ausência de períodos menstruais é causada pela falta de estrógeno, existe um pequeno risco de desenvolver </w:t>
            </w:r>
            <w:proofErr w:type="spell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osteoporosis</w:t>
            </w:r>
            <w:proofErr w:type="spell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enfraquecimento</w:t>
            </w:r>
            <w:proofErr w:type="gram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dos ossos).</w:t>
            </w:r>
          </w:p>
        </w:tc>
      </w:tr>
      <w:tr w:rsidR="007771F4" w:rsidRPr="007771F4" w14:paraId="4926B0EE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51266612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0146E121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6C5E85FB" w14:textId="77777777" w:rsidR="007771F4" w:rsidRPr="007771F4" w:rsidRDefault="007771F4" w:rsidP="0077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ORIENTAÇÕES</w:t>
            </w:r>
          </w:p>
        </w:tc>
      </w:tr>
      <w:tr w:rsidR="007771F4" w:rsidRPr="007771F4" w14:paraId="40B858B3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173754AE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6E23B6CC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7B2FA6EC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Para mulheres que ultrapassaram a puberdade e não menstruaram, o ginecologista ou endocrinologista deve ser consultado sobre a prescrição de uma reposição de progesterona entre 10 e 14 dias. Este hormônio provoca a eliminação do endométrio.</w:t>
            </w:r>
          </w:p>
        </w:tc>
      </w:tr>
      <w:tr w:rsidR="007771F4" w:rsidRPr="007771F4" w14:paraId="13B8B689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6B28B51B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0B0483E8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303F64A3" w14:textId="77777777" w:rsidR="007771F4" w:rsidRPr="007771F4" w:rsidRDefault="007771F4" w:rsidP="0077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Caso o período menstrual seja induzido</w:t>
            </w:r>
          </w:p>
        </w:tc>
      </w:tr>
      <w:tr w:rsidR="007771F4" w:rsidRPr="007771F4" w14:paraId="3D5FD0A7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474501B8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009306E1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1FD46439" w14:textId="77777777" w:rsidR="007771F4" w:rsidRPr="007771F4" w:rsidRDefault="007771F4" w:rsidP="007771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Há produção de estrógeno suficiente para a proteção dos ossos;</w:t>
            </w:r>
          </w:p>
          <w:p w14:paraId="3215921C" w14:textId="77777777" w:rsidR="007771F4" w:rsidRPr="007771F4" w:rsidRDefault="007771F4" w:rsidP="007771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Recomenda-se tratamento com progesterona, como descrito acima, para evitar o acúmulo do endométrio.</w:t>
            </w:r>
          </w:p>
        </w:tc>
      </w:tr>
      <w:tr w:rsidR="007771F4" w:rsidRPr="007771F4" w14:paraId="583E7E51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237B9CE3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16F3C7B9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7080C433" w14:textId="77777777" w:rsidR="007771F4" w:rsidRPr="007771F4" w:rsidRDefault="007771F4" w:rsidP="0077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Caso o período menstrual não seja induzido</w:t>
            </w:r>
          </w:p>
        </w:tc>
      </w:tr>
      <w:tr w:rsidR="007771F4" w:rsidRPr="007771F4" w14:paraId="7460E184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2141CCF7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40B8A467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43B8713A" w14:textId="77777777" w:rsidR="007771F4" w:rsidRPr="007771F4" w:rsidRDefault="007771F4" w:rsidP="007771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produção de estrógeno é insuficiente;</w:t>
            </w:r>
          </w:p>
          <w:p w14:paraId="15DC83AE" w14:textId="77777777" w:rsidR="007771F4" w:rsidRPr="007771F4" w:rsidRDefault="007771F4" w:rsidP="007771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Recomenda-</w:t>
            </w:r>
            <w:proofErr w:type="gram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  tratamentos</w:t>
            </w:r>
            <w:proofErr w:type="gram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para regularizar os ciclos de estrógeno e de progesterona;</w:t>
            </w:r>
          </w:p>
          <w:p w14:paraId="47B47A3C" w14:textId="77777777" w:rsidR="007771F4" w:rsidRPr="007771F4" w:rsidRDefault="007771F4" w:rsidP="007771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 tratamento pode ser feito com pílulas contraceptivas comuns;</w:t>
            </w:r>
          </w:p>
          <w:p w14:paraId="71C22955" w14:textId="3FA50CAF" w:rsidR="007771F4" w:rsidRPr="007771F4" w:rsidRDefault="007771F4" w:rsidP="007771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Como alternativa pode-se usar estrógeno diariamente ou</w:t>
            </w:r>
            <w:r w:rsidRPr="007D69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por determinado número de dias por mês conforme a orientação do seu médico</w:t>
            </w: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</w:tr>
      <w:tr w:rsidR="007771F4" w:rsidRPr="007771F4" w14:paraId="27ACE2B7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0687ED72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5979C9AF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2E825814" w14:textId="77777777" w:rsidR="007771F4" w:rsidRPr="007771F4" w:rsidRDefault="007771F4" w:rsidP="0077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 jovens cuja produção de estrógeno é suficiente ou que obtêm este hormônio através de pílulas contraceptivas e têm uma dieta normal e adequada não necessitam de cálcio ou vitamina D suplementar.</w:t>
            </w:r>
          </w:p>
        </w:tc>
      </w:tr>
      <w:tr w:rsidR="007771F4" w:rsidRPr="007771F4" w14:paraId="6AC4B6E5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303B3749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58969949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17A9650E" w14:textId="77777777" w:rsidR="007771F4" w:rsidRPr="007771F4" w:rsidRDefault="007771F4" w:rsidP="0077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 doses diárias recomendadas desses nutrientes são:</w:t>
            </w:r>
          </w:p>
        </w:tc>
      </w:tr>
      <w:tr w:rsidR="007771F4" w:rsidRPr="007771F4" w14:paraId="5EE57E7B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24835F23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7090A6B3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25321A70" w14:textId="77777777" w:rsidR="007771F4" w:rsidRPr="007771F4" w:rsidRDefault="007771F4" w:rsidP="007771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Cálcio: 1200mg</w:t>
            </w:r>
          </w:p>
          <w:p w14:paraId="0E2D07CB" w14:textId="77777777" w:rsidR="007771F4" w:rsidRPr="007771F4" w:rsidRDefault="007771F4" w:rsidP="007771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Vitamina D: 400 unidades, que podem ser ingeridas na forma de 4 copos de leite ou derivados deste.</w:t>
            </w:r>
          </w:p>
        </w:tc>
      </w:tr>
      <w:tr w:rsidR="007771F4" w:rsidRPr="007771F4" w14:paraId="63AFD7D7" w14:textId="77777777" w:rsidTr="007771F4">
        <w:trPr>
          <w:tblCellSpacing w:w="0" w:type="dxa"/>
        </w:trPr>
        <w:tc>
          <w:tcPr>
            <w:tcW w:w="8631" w:type="dxa"/>
            <w:gridSpan w:val="3"/>
            <w:vAlign w:val="center"/>
            <w:hideMark/>
          </w:tcPr>
          <w:p w14:paraId="78580474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7771F4" w:rsidRPr="007771F4" w14:paraId="5B88E9C0" w14:textId="77777777" w:rsidTr="007771F4">
        <w:trPr>
          <w:tblCellSpacing w:w="0" w:type="dxa"/>
        </w:trPr>
        <w:tc>
          <w:tcPr>
            <w:tcW w:w="3402" w:type="dxa"/>
            <w:vAlign w:val="center"/>
            <w:hideMark/>
          </w:tcPr>
          <w:p w14:paraId="6BF83D20" w14:textId="05AC8E70" w:rsidR="007771F4" w:rsidRPr="007771F4" w:rsidRDefault="007771F4" w:rsidP="007771F4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Este texto foi extraído do site: </w:t>
            </w:r>
            <w:r w:rsidRPr="007D6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www.atcp.org </w:t>
            </w:r>
          </w:p>
          <w:p w14:paraId="2D4DF5A7" w14:textId="66074D33" w:rsidR="007771F4" w:rsidRPr="007771F4" w:rsidRDefault="007771F4" w:rsidP="0077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Important</w:t>
            </w:r>
            <w:proofErr w:type="spellEnd"/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Fact</w:t>
            </w:r>
            <w:proofErr w:type="spellEnd"/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Sheets</w:t>
            </w:r>
            <w:proofErr w:type="spellEnd"/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About</w:t>
            </w:r>
            <w:proofErr w:type="spellEnd"/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Ataxia-Telangiectasia (A-T)</w:t>
            </w: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</w:t>
            </w: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proofErr w:type="spellStart"/>
            <w:r w:rsidR="00E50666" w:rsidRPr="007D69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</w:t>
            </w: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repared</w:t>
            </w:r>
            <w:proofErr w:type="spell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by</w:t>
            </w:r>
            <w:proofErr w:type="spell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Dr. Howard Lederman, </w:t>
            </w: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proofErr w:type="spell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Director</w:t>
            </w:r>
            <w:proofErr w:type="spell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of</w:t>
            </w:r>
            <w:proofErr w:type="spell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the</w:t>
            </w:r>
            <w:proofErr w:type="spell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A-T </w:t>
            </w:r>
            <w:proofErr w:type="spell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Clinical</w:t>
            </w:r>
            <w:proofErr w:type="spell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Center </w:t>
            </w:r>
            <w:proofErr w:type="spellStart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</w:t>
            </w:r>
            <w:proofErr w:type="spellEnd"/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Johns Hopkins Hospital</w:t>
            </w:r>
            <w:r w:rsidR="007D69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2.006</w:t>
            </w: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7D69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D5D96B" w14:textId="77777777" w:rsidR="007771F4" w:rsidRPr="007771F4" w:rsidRDefault="007771F4" w:rsidP="00777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FC1EC6" w14:textId="77777777" w:rsidR="007771F4" w:rsidRPr="007D6955" w:rsidRDefault="007771F4" w:rsidP="007771F4">
            <w:pPr>
              <w:spacing w:after="0" w:line="240" w:lineRule="auto"/>
              <w:ind w:left="591" w:hanging="59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D69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        </w:t>
            </w:r>
          </w:p>
          <w:p w14:paraId="4161F1F4" w14:textId="77777777" w:rsidR="007771F4" w:rsidRPr="007D6955" w:rsidRDefault="007771F4" w:rsidP="007771F4">
            <w:pPr>
              <w:spacing w:after="0" w:line="240" w:lineRule="auto"/>
              <w:ind w:left="591" w:hanging="59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010297DF" w14:textId="15426095" w:rsidR="007771F4" w:rsidRPr="007771F4" w:rsidRDefault="007771F4" w:rsidP="007771F4">
            <w:pPr>
              <w:spacing w:after="0" w:line="240" w:lineRule="auto"/>
              <w:ind w:left="591" w:hanging="591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D69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       </w:t>
            </w:r>
            <w:r w:rsidRPr="007771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Coordenação, adaptação e supervisão médica:</w:t>
            </w: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Prof. Dra. Beatriz Tavares Costa Carvalho </w:t>
            </w:r>
            <w:r w:rsidRPr="007771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Professora Adjunta da disciplina de alergia, imunologia clínica e reumatologia do Departamento de Pediatria da Universidade Federal de São Pa</w:t>
            </w:r>
            <w:r w:rsidRPr="007D69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ulo </w:t>
            </w:r>
          </w:p>
        </w:tc>
      </w:tr>
    </w:tbl>
    <w:p w14:paraId="5B560A8D" w14:textId="77777777" w:rsidR="00903492" w:rsidRDefault="00903492"/>
    <w:sectPr w:rsidR="00903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FA6"/>
    <w:multiLevelType w:val="multilevel"/>
    <w:tmpl w:val="CBEE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A308F"/>
    <w:multiLevelType w:val="multilevel"/>
    <w:tmpl w:val="3BBC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44248"/>
    <w:multiLevelType w:val="multilevel"/>
    <w:tmpl w:val="E7D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86410"/>
    <w:multiLevelType w:val="multilevel"/>
    <w:tmpl w:val="0AE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F4"/>
    <w:rsid w:val="00191961"/>
    <w:rsid w:val="002520CC"/>
    <w:rsid w:val="007771F4"/>
    <w:rsid w:val="007D6955"/>
    <w:rsid w:val="00903492"/>
    <w:rsid w:val="00E50666"/>
    <w:rsid w:val="00E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AB47"/>
  <w15:chartTrackingRefBased/>
  <w15:docId w15:val="{64D56C58-1913-49E4-973C-82DEC0F9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Lodovici</dc:creator>
  <cp:keywords/>
  <dc:description/>
  <cp:lastModifiedBy>Maria Angelica Lodovici</cp:lastModifiedBy>
  <cp:revision>8</cp:revision>
  <dcterms:created xsi:type="dcterms:W3CDTF">2021-03-26T17:12:00Z</dcterms:created>
  <dcterms:modified xsi:type="dcterms:W3CDTF">2021-03-26T17:57:00Z</dcterms:modified>
</cp:coreProperties>
</file>